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Colorado River basin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Resource Consumption  ·  Regional to international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Southwestern United States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36.1°N 111.8°W   ·   Scale: Regional to international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large basin supplying water to seven US states, thirty tribes and Mexico, governed by a stack of compacts and agreements. The volume promised in those agreements exceeds what the river reliably carries.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Over-allocation established by historic agreement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Reduced snowpack and runoff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Reservoir drawdown at Powell and Mead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Administrative shortage sharing between states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Reservoir elevations at Lake Mead and Lake Powell, dated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Volumes allocated versus average annual flow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Size of the cuts imposed on each state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Share of basin water used by agriculture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Agricultural users holding senior water rights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Cities including Phoenix, Las Vegas and Los Angeles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Thirty federally recognised tribes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Mexico, under the 1944 treaty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When users could not agree, the federal government decided.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Scale. </w:t>
      </w:r>
      <w:r>
        <w:rPr>
          <w:rFonts w:ascii="Calibri" w:cs="Calibri" w:eastAsia="Calibri" w:hAnsi="Calibri"/>
          <w:sz w:val="20"/>
          <w:szCs w:val="20"/>
        </w:rPr>
        <w:t xml:space="preserve">Municipal restriction to international treaty, one river.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Reallocation, efficiency and reduced demand — each with different losers.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Water scarcity, competing demands, and the politics of allocation.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Bureau of Reclamation — Post-2026 Operations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https://www.usbr.gov/ColoradoRiverBasin/post2026/index.html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Geography in the News — the 2026 framework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news-2026-08-22-colorado-river.html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Drought.gov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https://www.drought.gov/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Colorado River basin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2026-08-28T13:49:35.171Z</dcterms:created>
  <dcterms:modified xsi:type="dcterms:W3CDTF">2026-08-28T13:49:35.171Z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