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Costa Rica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Leisure, Tourism &amp; Sport  ·  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Republic of Costa Rica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9.7°N 84.0°W   ·   Scale: 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Central American country that protects a large share of its territory and has built a national tourism brand around biodiversity and conservation. The label is applied unevenly across operators.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Protected area designation supporting tourism value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Payment for ecosystem services funding reforestation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Tourism revenue as a national development driver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Uneven application of the ecotourism label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Percentage of national territory protected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Forest cover now versus its low point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Tourism as a share of GDP and employment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Proportion of operators holding sustainability certification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Rural communities near protected areas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Tour operators, certified and otherwise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The national government and tourism board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Conservation scientists assessing outcomes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Possibility. </w:t>
      </w:r>
      <w:r>
        <w:rPr>
          <w:rFonts w:ascii="Calibri" w:cs="Calibri" w:eastAsia="Calibri" w:hAnsi="Calibri"/>
          <w:sz w:val="20"/>
          <w:szCs w:val="20"/>
        </w:rPr>
        <w:t xml:space="preserve">Conservation and income aligned — where the incentives hold.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Certification decides who may use the label.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National branding, very variable local practice.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Sustainable tourism, and whether the label survives scrutiny.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The reforestation record is real and impressive. Test whether every operator using the word deserves it.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Protected Planet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https://www.protectedplanet.net/country/CRI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Costa Rica Tourism Board (ICT)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https://www.ict.go.cr/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Open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https://data.worldbank.org/country/costa-rica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Costa Rica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2026-08-28T13:49:35.374Z</dcterms:created>
  <dcterms:modified xsi:type="dcterms:W3CDTF">2026-08-28T13:49:35.374Z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