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Democratic Republic of the Congo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Resource Consumption  ·  National to global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DR Congo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2.9°S 23.7°E   ·   Scale: National to global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very large, resource-rich central African state whose mineral wealth is central to global battery supply chains. Extraction includes both large industrial operations and extensive artisanal mining.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Extraction of minerals critical to the energy transition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Export of raw material with processing occurring elsewhere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Artisanal mining alongside industrial operations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Value capture concentrated outside the producing country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DR Congo's share of global cobalt production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Where the ore is refined, and in what proportion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Export value versus the value of finished batteries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Estimates of artisanal mining employment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Artisanal miners, including child labourers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Mining communities and their environments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Congolese state and its revenue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Battery and vehicle manufacturers worldwide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Holding the resource is not the same as holding the leverage.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Spatial interaction. </w:t>
      </w:r>
      <w:r>
        <w:rPr>
          <w:rFonts w:ascii="Calibri" w:cs="Calibri" w:eastAsia="Calibri" w:hAnsi="Calibri"/>
          <w:sz w:val="20"/>
          <w:szCs w:val="20"/>
        </w:rPr>
        <w:t xml:space="preserve">A mineral chain running from a Congolese pit to a car in Florida.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Recycling, substitution and domestic processing each change the picture.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Resource extraction, uneven benefit, and the human cost of the energy transition.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This case complicates any simple story about renewable energy being clean. Hold both truths at once.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USGS Mineral Commodity Summaries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https://www.usgs.gov/centers/national-minerals-information-center/mineral-commodity-summaries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International Energy Agency — critical minerals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https://www.iea.org/topics/critical-minerals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Amnesty International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https://www.amnesty.org/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Democratic Republic of the Congo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2026-08-28T13:49:35.193Z</dcterms:created>
  <dcterms:modified xsi:type="dcterms:W3CDTF">2026-08-28T13:49:35.193Z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