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Iceland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Resource Consumption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Iceland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64.9°N 19.0°W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volcanically active North Atlantic island with abundant geothermal heat and glacial meltwater, and a small population. Its energy position is a direct product of physical geography.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Geothermal energy from active volcanic geology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Hydroelectric generation from glacial rivers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District heating distributing geothermal heat directly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Energy-intensive industry attracted by cheap power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electricity from renewable sources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heating from geothermal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Per capita energy consumption, compared internationally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Proportion of electricity used by heavy industry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Icelandic households and their heating costs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Energy-intensive industries drawn by low prices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Environmental groups opposed to new hydro schemes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Countries looking for a replicable model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Place. </w:t>
      </w:r>
      <w:r>
        <w:rPr>
          <w:rFonts w:ascii="Calibri" w:cs="Calibri" w:eastAsia="Calibri" w:hAnsi="Calibri"/>
          <w:sz w:val="20"/>
          <w:szCs w:val="20"/>
        </w:rPr>
        <w:t xml:space="preserve">The physical setting explains the energy mix almost entirely.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A genuine success that is only partially transferable.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Cheap energy attracting aluminium smelting and data centres.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Energy security, renewable transition, and the role of physical geography in making it possible.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Ask what is transferable and what is not. Most countries do not sit on a mid-ocean ridge.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IEA — Iceland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https://www.iea.org/countries/iceland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Our World in Data — energy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https://ourworldindata.org/energy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Energy Institute Statistical Review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https://www.energyinst.org/statistical-review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Iceland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2026-08-28T13:49:35.209Z</dcterms:created>
  <dcterms:modified xsi:type="dcterms:W3CDTF">2026-08-28T13:49:35.209Z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