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64"/>
      </w:pPr>
      <w:r>
        <w:rPr>
          <w:rFonts w:ascii="Consolas" w:cs="Consolas" w:eastAsia="Consolas" w:hAnsi="Consolas"/>
          <w:b/>
          <w:bCs/>
          <w:caps/>
          <w:color w:val="8B9793"/>
          <w:spacing w:val="20"/>
          <w:sz w:val="15"/>
          <w:szCs w:val="15"/>
        </w:rPr>
        <w:t xml:space="preserve">CASE STUDY RECORD</w:t>
      </w:r>
    </w:p>
    <w:p>
      <w:pPr>
        <w:spacing w:after="60"/>
      </w:pPr>
      <w:r>
        <w:rPr>
          <w:rFonts w:ascii="Calibri" w:cs="Calibri" w:eastAsia="Calibri" w:hAnsi="Calibri"/>
          <w:b/>
          <w:bCs/>
          <w:color w:val="0D2530"/>
          <w:sz w:val="40"/>
          <w:szCs w:val="40"/>
        </w:rPr>
        <w:t xml:space="preserve">Iran</w:t>
      </w:r>
    </w:p>
    <w:p>
      <w:pPr>
        <w:spacing w:after="40" w:before="0" w:line="264"/>
      </w:pPr>
      <w:r>
        <w:rPr>
          <w:rFonts w:ascii="Calibri" w:cs="Calibri" w:eastAsia="Calibri" w:hAnsi="Calibri"/>
          <w:b/>
          <w:bCs/>
          <w:color w:val="186B72"/>
          <w:sz w:val="19"/>
          <w:szCs w:val="19"/>
        </w:rPr>
        <w:t xml:space="preserve">Model case study  ·  National to regional</w:t>
      </w:r>
    </w:p>
    <w:p>
      <w:pPr>
        <w:pBdr>
          <w:bottom w:val="single" w:color="D9DED7" w:sz="6" w:space="6"/>
        </w:pBdr>
        <w:spacing w:after="60" w:before="0" w:line="264"/>
      </w:pPr>
      <w:r>
        <w:rPr>
          <w:rFonts w:ascii="Calibri" w:cs="Calibri" w:eastAsia="Calibri" w:hAnsi="Calibri"/>
          <w:color w:val="8B9793"/>
          <w:sz w:val="17"/>
          <w:szCs w:val="17"/>
        </w:rPr>
        <w:t xml:space="preserve">Where IB? Geography DP  ·  Windermere Preparatory School</w:t>
      </w:r>
    </w:p>
    <w:p>
      <w:pPr>
        <w:spacing w:after="200" w:before="140" w:line="264"/>
      </w:pPr>
      <w:r>
        <w:rPr>
          <w:rFonts w:ascii="Calibri" w:cs="Calibri" w:eastAsia="Calibri" w:hAnsi="Calibri"/>
          <w:color w:val="5A6A66"/>
          <w:sz w:val="18"/>
          <w:szCs w:val="18"/>
        </w:rPr>
        <w:t xml:space="preserve">Name:  ______________________________          Date started:  ______________          Last updated:  ______________</w:t>
      </w:r>
    </w:p>
    <w:p>
      <w:pPr>
        <w:spacing w:after="240" w:before="0" w:line="264"/>
      </w:pPr>
      <w:r>
        <w:rPr>
          <w:rFonts w:ascii="Calibri" w:cs="Calibri" w:eastAsia="Calibri" w:hAnsi="Calibri"/>
          <w:i/>
          <w:iCs/>
          <w:color w:val="5A6A66"/>
          <w:sz w:val="19"/>
          <w:szCs w:val="19"/>
        </w:rPr>
        <w:t xml:space="preserve">Six sections are filled in for you. Four are yours — evidence, perspectives, evaluation and the current connection. Those four are where the marks are. This record is not finished until they are done.</w:t>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01   </w:t>
            </w:r>
            <w:r>
              <w:rPr>
                <w:rFonts w:ascii="Calibri" w:cs="Calibri" w:eastAsia="Calibri" w:hAnsi="Calibri"/>
                <w:b/>
                <w:bCs/>
                <w:color w:val="0D2530"/>
                <w:spacing w:val="24"/>
                <w:sz w:val="20"/>
                <w:szCs w:val="20"/>
              </w:rPr>
              <w:t xml:space="preserve">LOCATION</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00" w:before="100" w:line="264"/>
      </w:pPr>
      <w:r>
        <w:rPr>
          <w:rFonts w:ascii="Calibri" w:cs="Calibri" w:eastAsia="Calibri" w:hAnsi="Calibri"/>
          <w:b/>
          <w:bCs/>
          <w:color w:val="15211F"/>
          <w:sz w:val="21"/>
          <w:szCs w:val="21"/>
        </w:rPr>
        <w:t xml:space="preserve">Islamic Republic of Iran</w:t>
      </w:r>
    </w:p>
    <w:p>
      <w:pPr>
        <w:spacing w:after="240" w:before="0" w:line="264"/>
      </w:pPr>
      <w:r>
        <w:rPr>
          <w:rFonts w:ascii="Consolas" w:cs="Consolas" w:eastAsia="Consolas" w:hAnsi="Consolas"/>
          <w:color w:val="5A6A66"/>
          <w:sz w:val="18"/>
          <w:szCs w:val="18"/>
        </w:rPr>
        <w:t xml:space="preserve">32.4°N 53.7°E   ·   Scale: National to regional</w:t>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02   </w:t>
            </w:r>
            <w:r>
              <w:rPr>
                <w:rFonts w:ascii="Calibri" w:cs="Calibri" w:eastAsia="Calibri" w:hAnsi="Calibri"/>
                <w:b/>
                <w:bCs/>
                <w:color w:val="0D2530"/>
                <w:spacing w:val="24"/>
                <w:sz w:val="20"/>
                <w:szCs w:val="20"/>
              </w:rPr>
              <w:t xml:space="preserve">GEOGRAPHIC CONTEXT</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240" w:before="100" w:line="264"/>
      </w:pPr>
      <w:r>
        <w:rPr>
          <w:rFonts w:ascii="Calibri" w:cs="Calibri" w:eastAsia="Calibri" w:hAnsi="Calibri"/>
          <w:color w:val="15211F"/>
          <w:sz w:val="20"/>
          <w:szCs w:val="20"/>
        </w:rPr>
        <w:t xml:space="preserve">A large plateau state ringed by mountains, with deserts at its centre and its population concentrated in the wetter north and west. It sits on major energy reserves and beside one of the world's most important maritime chokepoints.</w:t>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03   </w:t>
            </w:r>
            <w:r>
              <w:rPr>
                <w:rFonts w:ascii="Calibri" w:cs="Calibri" w:eastAsia="Calibri" w:hAnsi="Calibri"/>
                <w:b/>
                <w:bCs/>
                <w:color w:val="0D2530"/>
                <w:spacing w:val="24"/>
                <w:sz w:val="20"/>
                <w:szCs w:val="20"/>
              </w:rPr>
              <w:t xml:space="preserve">PROCESSES</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00" w:before="100" w:line="264"/>
      </w:pPr>
      <w:r>
        <w:rPr>
          <w:rFonts w:ascii="Calibri" w:cs="Calibri" w:eastAsia="Calibri" w:hAnsi="Calibri"/>
          <w:i/>
          <w:iCs/>
          <w:color w:val="5A6A66"/>
          <w:sz w:val="19"/>
          <w:szCs w:val="19"/>
        </w:rPr>
        <w:t xml:space="preserve">What is changing here, and the mechanisms driving it.</w:t>
      </w:r>
    </w:p>
    <w:p>
      <w:pPr>
        <w:pStyle w:val="ListParagraph"/>
        <w:numPr>
          <w:ilvl w:val="0"/>
          <w:numId w:val="2"/>
        </w:numPr>
        <w:spacing w:after="60" w:line="264"/>
      </w:pPr>
      <w:r>
        <w:rPr>
          <w:rFonts w:ascii="Calibri" w:cs="Calibri" w:eastAsia="Calibri" w:hAnsi="Calibri"/>
          <w:sz w:val="20"/>
          <w:szCs w:val="20"/>
        </w:rPr>
        <w:t xml:space="preserve">Physical barriers shaping settlement and defence</w:t>
      </w:r>
    </w:p>
    <w:p>
      <w:pPr>
        <w:pStyle w:val="ListParagraph"/>
        <w:numPr>
          <w:ilvl w:val="0"/>
          <w:numId w:val="2"/>
        </w:numPr>
        <w:spacing w:after="60" w:line="264"/>
      </w:pPr>
      <w:r>
        <w:rPr>
          <w:rFonts w:ascii="Calibri" w:cs="Calibri" w:eastAsia="Calibri" w:hAnsi="Calibri"/>
          <w:sz w:val="20"/>
          <w:szCs w:val="20"/>
        </w:rPr>
        <w:t xml:space="preserve">Resource endowment and export dependence</w:t>
      </w:r>
    </w:p>
    <w:p>
      <w:pPr>
        <w:pStyle w:val="ListParagraph"/>
        <w:numPr>
          <w:ilvl w:val="0"/>
          <w:numId w:val="2"/>
        </w:numPr>
        <w:spacing w:after="60" w:line="264"/>
      </w:pPr>
      <w:r>
        <w:rPr>
          <w:rFonts w:ascii="Calibri" w:cs="Calibri" w:eastAsia="Calibri" w:hAnsi="Calibri"/>
          <w:sz w:val="20"/>
          <w:szCs w:val="20"/>
        </w:rPr>
        <w:t xml:space="preserve">Control of a maritime chokepoint as leverage</w:t>
      </w:r>
    </w:p>
    <w:p>
      <w:pPr>
        <w:pStyle w:val="ListParagraph"/>
        <w:numPr>
          <w:ilvl w:val="0"/>
          <w:numId w:val="2"/>
        </w:numPr>
        <w:spacing w:after="60" w:line="264"/>
      </w:pPr>
      <w:r>
        <w:rPr>
          <w:rFonts w:ascii="Calibri" w:cs="Calibri" w:eastAsia="Calibri" w:hAnsi="Calibri"/>
          <w:sz w:val="20"/>
          <w:szCs w:val="20"/>
        </w:rPr>
        <w:t xml:space="preserve">Demographic change following rapid fertility decline</w:t>
      </w:r>
    </w:p>
    <w:p>
      <w:pPr>
        <w:spacing w:after="18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04   </w:t>
            </w:r>
            <w:r>
              <w:rPr>
                <w:rFonts w:ascii="Calibri" w:cs="Calibri" w:eastAsia="Calibri" w:hAnsi="Calibri"/>
                <w:b/>
                <w:bCs/>
                <w:color w:val="0D2530"/>
                <w:spacing w:val="24"/>
                <w:sz w:val="20"/>
                <w:szCs w:val="20"/>
              </w:rPr>
              <w:t xml:space="preserve">EVIDENCE</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Find these. Write the year beside every figure — a statistic without a date is not evidence. Note the source too, so you can check it later.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2520"/>
        <w:gridCol w:w="2520"/>
      </w:tblGrid>
      <w:tr>
        <w:trPr>
          <w:tblHeader/>
        </w:trPr>
        <w:tc>
          <w:tcPr>
            <w:tcW w:type="dxa" w:w="5040"/>
            <w:shd w:fill="0D2530" w:val="clear"/>
            <w:tcMar>
              <w:top w:type="dxa" w:w="70"/>
              <w:left w:type="dxa" w:w="120"/>
              <w:bottom w:type="dxa" w:w="70"/>
              <w:right w:type="dxa" w:w="120"/>
            </w:tcMar>
          </w:tcPr>
          <w:p>
            <w:pPr>
              <w:spacing w:after="0" w:before="0" w:line="264"/>
            </w:pPr>
            <w:r>
              <w:rPr>
                <w:rFonts w:ascii="Consolas" w:cs="Consolas" w:eastAsia="Consolas" w:hAnsi="Consolas"/>
                <w:b/>
                <w:bCs/>
                <w:caps/>
                <w:color w:val="FFFFFF"/>
                <w:spacing w:val="20"/>
                <w:sz w:val="15"/>
                <w:szCs w:val="15"/>
              </w:rPr>
              <w:t xml:space="preserve">What to find</w:t>
            </w:r>
          </w:p>
        </w:tc>
        <w:tc>
          <w:tcPr>
            <w:tcW w:type="dxa" w:w="2520"/>
            <w:shd w:fill="0D2530" w:val="clear"/>
            <w:tcMar>
              <w:top w:type="dxa" w:w="70"/>
              <w:left w:type="dxa" w:w="120"/>
              <w:bottom w:type="dxa" w:w="70"/>
              <w:right w:type="dxa" w:w="120"/>
            </w:tcMar>
          </w:tcPr>
          <w:p>
            <w:pPr>
              <w:spacing w:after="0" w:before="0" w:line="264"/>
            </w:pPr>
            <w:r>
              <w:rPr>
                <w:rFonts w:ascii="Consolas" w:cs="Consolas" w:eastAsia="Consolas" w:hAnsi="Consolas"/>
                <w:b/>
                <w:bCs/>
                <w:caps/>
                <w:color w:val="FFFFFF"/>
                <w:spacing w:val="20"/>
                <w:sz w:val="15"/>
                <w:szCs w:val="15"/>
              </w:rPr>
              <w:t xml:space="preserve">Figure + year</w:t>
            </w:r>
          </w:p>
        </w:tc>
        <w:tc>
          <w:tcPr>
            <w:tcW w:type="dxa" w:w="2520"/>
            <w:shd w:fill="0D2530" w:val="clear"/>
            <w:tcMar>
              <w:top w:type="dxa" w:w="70"/>
              <w:left w:type="dxa" w:w="120"/>
              <w:bottom w:type="dxa" w:w="70"/>
              <w:right w:type="dxa" w:w="120"/>
            </w:tcMar>
          </w:tcPr>
          <w:p>
            <w:pPr>
              <w:spacing w:after="0" w:before="0" w:line="264"/>
            </w:pPr>
            <w:r>
              <w:rPr>
                <w:rFonts w:ascii="Consolas" w:cs="Consolas" w:eastAsia="Consolas" w:hAnsi="Consolas"/>
                <w:b/>
                <w:bCs/>
                <w:caps/>
                <w:color w:val="FFFFFF"/>
                <w:spacing w:val="20"/>
                <w:sz w:val="15"/>
                <w:szCs w:val="15"/>
              </w:rPr>
              <w:t xml:space="preserve">Source</w:t>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Share of world seaborne oil passing through the Strait of Hormuz</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Iran's total fertility rate now, and thirty years ago</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Proportion of the population under 30</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r>
        <w:trPr>
          <w:trHeight w:val="520" w:hRule="atLeast"/>
        </w:trPr>
        <w:tc>
          <w:tcPr>
            <w:tcW w:type="dxa" w:w="504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19"/>
                <w:szCs w:val="19"/>
              </w:rPr>
              <w:t xml:space="preserve">Water stress indicators for central Iran</w:t>
            </w:r>
          </w:p>
        </w:tc>
        <w:tc>
          <w:tcPr>
            <w:tcW w:type="dxa" w:w="2520"/>
            <w:tcBorders>
              <w:top w:val="single" w:color="D9DED7" w:sz="4"/>
              <w:left w:val="none"/>
              <w:bottom w:val="single" w:color="D9DED7" w:sz="4"/>
              <w:right w:val="single" w:color="D9DED7" w:sz="4"/>
            </w:tcBorders>
            <w:tcMar>
              <w:top w:type="dxa" w:w="70"/>
              <w:left w:type="dxa" w:w="120"/>
              <w:bottom w:type="dxa" w:w="70"/>
              <w:right w:type="dxa" w:w="120"/>
            </w:tcMar>
          </w:tcPr>
          <w:p>
            <w:pPr>
              <w:spacing w:after="0" w:before="0" w:line="264"/>
            </w:pPr>
            <w:r>
              <w:rPr>
                <w:rFonts w:ascii="Calibri" w:cs="Calibri" w:eastAsia="Calibri" w:hAnsi="Calibri"/>
                <w:color w:val="15211F"/>
                <w:sz w:val="20"/>
                <w:szCs w:val="20"/>
              </w:rPr>
              <w:t xml:space="preserve"/>
            </w:r>
          </w:p>
        </w:tc>
        <w:tc>
          <w:tcPr>
            <w:tcW w:type="dxa" w:w="2520"/>
            <w:tcBorders>
              <w:top w:val="single" w:color="D9DED7" w:sz="4"/>
              <w:left w:val="none"/>
              <w:bottom w:val="single" w:color="D9DED7" w:sz="4"/>
              <w:right w:val="none"/>
            </w:tcBorders>
            <w:tcMar>
              <w:top w:type="dxa" w:w="70"/>
              <w:left w:type="dxa" w:w="120"/>
              <w:bottom w:type="dxa" w:w="70"/>
              <w:right w:type="dxa" w:w="0"/>
            </w:tcMar>
          </w:tcPr>
          <w:p>
            <w:pPr>
              <w:spacing w:after="0" w:before="0" w:line="264"/>
            </w:pPr>
            <w:r>
              <w:rPr>
                <w:rFonts w:ascii="Calibri" w:cs="Calibri" w:eastAsia="Calibri" w:hAnsi="Calibri"/>
                <w:color w:val="15211F"/>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05   </w:t>
            </w:r>
            <w:r>
              <w:rPr>
                <w:rFonts w:ascii="Calibri" w:cs="Calibri" w:eastAsia="Calibri" w:hAnsi="Calibri"/>
                <w:b/>
                <w:bCs/>
                <w:color w:val="0D2530"/>
                <w:spacing w:val="24"/>
                <w:sz w:val="20"/>
                <w:szCs w:val="20"/>
              </w:rPr>
              <w:t xml:space="preserve">STAKEHOLDERS</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00" w:before="100" w:line="264"/>
      </w:pPr>
      <w:r>
        <w:rPr>
          <w:rFonts w:ascii="Calibri" w:cs="Calibri" w:eastAsia="Calibri" w:hAnsi="Calibri"/>
          <w:i/>
          <w:iCs/>
          <w:color w:val="5A6A66"/>
          <w:sz w:val="19"/>
          <w:szCs w:val="19"/>
        </w:rPr>
        <w:t xml:space="preserve">Who is affected, and separately, who holds the decision-making power.</w:t>
      </w:r>
    </w:p>
    <w:p>
      <w:pPr>
        <w:pStyle w:val="ListParagraph"/>
        <w:numPr>
          <w:ilvl w:val="0"/>
          <w:numId w:val="2"/>
        </w:numPr>
        <w:spacing w:after="60" w:line="264"/>
      </w:pPr>
      <w:r>
        <w:rPr>
          <w:rFonts w:ascii="Calibri" w:cs="Calibri" w:eastAsia="Calibri" w:hAnsi="Calibri"/>
          <w:sz w:val="20"/>
          <w:szCs w:val="20"/>
        </w:rPr>
        <w:t xml:space="preserve">The Iranian state and its regional rivals</w:t>
      </w:r>
    </w:p>
    <w:p>
      <w:pPr>
        <w:pStyle w:val="ListParagraph"/>
        <w:numPr>
          <w:ilvl w:val="0"/>
          <w:numId w:val="2"/>
        </w:numPr>
        <w:spacing w:after="60" w:line="264"/>
      </w:pPr>
      <w:r>
        <w:rPr>
          <w:rFonts w:ascii="Calibri" w:cs="Calibri" w:eastAsia="Calibri" w:hAnsi="Calibri"/>
          <w:sz w:val="20"/>
          <w:szCs w:val="20"/>
        </w:rPr>
        <w:t xml:space="preserve">Iranian citizens, particularly a large young population</w:t>
      </w:r>
    </w:p>
    <w:p>
      <w:pPr>
        <w:pStyle w:val="ListParagraph"/>
        <w:numPr>
          <w:ilvl w:val="0"/>
          <w:numId w:val="2"/>
        </w:numPr>
        <w:spacing w:after="60" w:line="264"/>
      </w:pPr>
      <w:r>
        <w:rPr>
          <w:rFonts w:ascii="Calibri" w:cs="Calibri" w:eastAsia="Calibri" w:hAnsi="Calibri"/>
          <w:sz w:val="20"/>
          <w:szCs w:val="20"/>
        </w:rPr>
        <w:t xml:space="preserve">Energy importers dependent on Gulf shipping</w:t>
      </w:r>
    </w:p>
    <w:p>
      <w:pPr>
        <w:pStyle w:val="ListParagraph"/>
        <w:numPr>
          <w:ilvl w:val="0"/>
          <w:numId w:val="2"/>
        </w:numPr>
        <w:spacing w:after="60" w:line="264"/>
      </w:pPr>
      <w:r>
        <w:rPr>
          <w:rFonts w:ascii="Calibri" w:cs="Calibri" w:eastAsia="Calibri" w:hAnsi="Calibri"/>
          <w:sz w:val="20"/>
          <w:szCs w:val="20"/>
        </w:rPr>
        <w:t xml:space="preserve">Neighbouring states along contested borders</w:t>
      </w:r>
    </w:p>
    <w:p>
      <w:pPr>
        <w:spacing w:after="120" w:before="0" w:line="264"/>
      </w:pPr>
      <w:r>
        <w:rPr>
          <w:rFonts w:ascii="Calibri" w:cs="Calibri" w:eastAsia="Calibri" w:hAnsi="Calibri"/>
          <w:i/>
          <w:iCs/>
          <w:color w:val="5A6A66"/>
          <w:sz w:val="19"/>
          <w:szCs w:val="19"/>
        </w:rPr>
        <w:t xml:space="preserve">For each one, add what they actually want — and mark where two of them want incompatible things.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06   </w:t>
            </w:r>
            <w:r>
              <w:rPr>
                <w:rFonts w:ascii="Calibri" w:cs="Calibri" w:eastAsia="Calibri" w:hAnsi="Calibri"/>
                <w:b/>
                <w:bCs/>
                <w:color w:val="0D2530"/>
                <w:spacing w:val="24"/>
                <w:sz w:val="20"/>
                <w:szCs w:val="20"/>
              </w:rPr>
              <w:t xml:space="preserve">PERSPECTIVES</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Find two sources that disagree about this case — not two summaries of the same view. For each: who they are, what they claim, and what interest they have. A perspective without a holder is not a perspective.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07   </w:t>
            </w:r>
            <w:r>
              <w:rPr>
                <w:rFonts w:ascii="Calibri" w:cs="Calibri" w:eastAsia="Calibri" w:hAnsi="Calibri"/>
                <w:b/>
                <w:bCs/>
                <w:color w:val="0D2530"/>
                <w:spacing w:val="24"/>
                <w:sz w:val="20"/>
                <w:szCs w:val="20"/>
              </w:rPr>
              <w:t xml:space="preserve">CONCEPTS</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pStyle w:val="ListParagraph"/>
        <w:numPr>
          <w:ilvl w:val="0"/>
          <w:numId w:val="2"/>
        </w:numPr>
        <w:spacing w:after="60" w:line="264"/>
      </w:pPr>
      <w:r>
        <w:rPr>
          <w:rFonts w:ascii="Calibri" w:cs="Calibri" w:eastAsia="Calibri" w:hAnsi="Calibri"/>
          <w:b/>
          <w:bCs/>
          <w:sz w:val="20"/>
          <w:szCs w:val="20"/>
        </w:rPr>
        <w:t xml:space="preserve">Place. </w:t>
      </w:r>
      <w:r>
        <w:rPr>
          <w:rFonts w:ascii="Calibri" w:cs="Calibri" w:eastAsia="Calibri" w:hAnsi="Calibri"/>
          <w:sz w:val="20"/>
          <w:szCs w:val="20"/>
        </w:rPr>
        <w:t xml:space="preserve">Terrain explains where Iranians live, and where they cannot.</w:t>
      </w:r>
    </w:p>
    <w:p>
      <w:pPr>
        <w:pStyle w:val="ListParagraph"/>
        <w:numPr>
          <w:ilvl w:val="0"/>
          <w:numId w:val="2"/>
        </w:numPr>
        <w:spacing w:after="60" w:line="264"/>
      </w:pPr>
      <w:r>
        <w:rPr>
          <w:rFonts w:ascii="Calibri" w:cs="Calibri" w:eastAsia="Calibri" w:hAnsi="Calibri"/>
          <w:b/>
          <w:bCs/>
          <w:sz w:val="20"/>
          <w:szCs w:val="20"/>
        </w:rPr>
        <w:t xml:space="preserve">Power. </w:t>
      </w:r>
      <w:r>
        <w:rPr>
          <w:rFonts w:ascii="Calibri" w:cs="Calibri" w:eastAsia="Calibri" w:hAnsi="Calibri"/>
          <w:sz w:val="20"/>
          <w:szCs w:val="20"/>
        </w:rPr>
        <w:t xml:space="preserve">Geography supplies leverage; it does not supply decisions.</w:t>
      </w:r>
    </w:p>
    <w:p>
      <w:pPr>
        <w:pStyle w:val="ListParagraph"/>
        <w:numPr>
          <w:ilvl w:val="0"/>
          <w:numId w:val="2"/>
        </w:numPr>
        <w:spacing w:after="60" w:line="264"/>
      </w:pPr>
      <w:r>
        <w:rPr>
          <w:rFonts w:ascii="Calibri" w:cs="Calibri" w:eastAsia="Calibri" w:hAnsi="Calibri"/>
          <w:b/>
          <w:bCs/>
          <w:sz w:val="20"/>
          <w:szCs w:val="20"/>
        </w:rPr>
        <w:t xml:space="preserve">Spatial interaction. </w:t>
      </w:r>
      <w:r>
        <w:rPr>
          <w:rFonts w:ascii="Calibri" w:cs="Calibri" w:eastAsia="Calibri" w:hAnsi="Calibri"/>
          <w:sz w:val="20"/>
          <w:szCs w:val="20"/>
        </w:rPr>
        <w:t xml:space="preserve">The Strait of Hormuz connects Iran to markets far beyond the region.</w:t>
      </w:r>
    </w:p>
    <w:p>
      <w:pPr>
        <w:spacing w:after="18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08   </w:t>
            </w:r>
            <w:r>
              <w:rPr>
                <w:rFonts w:ascii="Calibri" w:cs="Calibri" w:eastAsia="Calibri" w:hAnsi="Calibri"/>
                <w:b/>
                <w:bCs/>
                <w:color w:val="0D2530"/>
                <w:spacing w:val="24"/>
                <w:sz w:val="20"/>
                <w:szCs w:val="20"/>
              </w:rPr>
              <w:t xml:space="preserve">EVALUATION</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How significant is this? How effective was any response? What are the limits of your evidence? What else could explain the pattern? Reach a judgement and defend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FFFFF" w:val="clear"/>
            <w:tcMar>
              <w:top w:type="dxa" w:w="90"/>
              <w:left w:type="dxa" w:w="120"/>
              <w:bottom w:type="dxa" w:w="90"/>
              <w:right w:type="dxa" w:w="120"/>
            </w:tcMar>
          </w:tcPr>
          <w:p>
            <w:pPr>
              <w:spacing w:after="0"/>
            </w:pPr>
            <w:r>
              <w:rPr>
                <w:rFonts w:ascii="Consolas" w:cs="Consolas" w:eastAsia="Consolas" w:hAnsi="Consolas"/>
                <w:b/>
                <w:bCs/>
                <w:color w:val="8A3B4E"/>
                <w:sz w:val="18"/>
                <w:szCs w:val="18"/>
              </w:rPr>
              <w:t xml:space="preserve">09   </w:t>
            </w:r>
            <w:r>
              <w:rPr>
                <w:rFonts w:ascii="Calibri" w:cs="Calibri" w:eastAsia="Calibri" w:hAnsi="Calibri"/>
                <w:b/>
                <w:bCs/>
                <w:color w:val="0D2530"/>
                <w:spacing w:val="24"/>
                <w:sz w:val="20"/>
                <w:szCs w:val="20"/>
              </w:rPr>
              <w:t xml:space="preserve">CURRENT CONNECTION</w:t>
            </w:r>
          </w:p>
        </w:tc>
        <w:tc>
          <w:tcPr>
            <w:tcW w:type="dxa" w:w="2520"/>
            <w:shd w:fill="FFFFFF" w:val="clear"/>
            <w:tcMar>
              <w:top w:type="dxa" w:w="90"/>
              <w:left w:type="dxa" w:w="120"/>
              <w:bottom w:type="dxa" w:w="90"/>
              <w:right w:type="dxa" w:w="120"/>
            </w:tcMar>
          </w:tcPr>
          <w:p>
            <w:pPr>
              <w:spacing w:after="0"/>
              <w:jc w:val="right"/>
            </w:pPr>
            <w:r>
              <w:rPr>
                <w:rFonts w:ascii="Consolas" w:cs="Consolas" w:eastAsia="Consolas" w:hAnsi="Consolas"/>
                <w:b/>
                <w:bCs/>
                <w:color w:val="8A3B4E"/>
                <w:spacing w:val="20"/>
                <w:sz w:val="14"/>
                <w:szCs w:val="14"/>
              </w:rPr>
              <w:t xml:space="preserve">YOU BUILD THIS</w:t>
            </w:r>
          </w:p>
        </w:tc>
      </w:tr>
    </w:tbl>
    <w:p>
      <w:pPr>
        <w:spacing w:after="120" w:before="0" w:line="264"/>
      </w:pPr>
      <w:r>
        <w:rPr>
          <w:rFonts w:ascii="Calibri" w:cs="Calibri" w:eastAsia="Calibri" w:hAnsi="Calibri"/>
          <w:i/>
          <w:iCs/>
          <w:color w:val="5A6A66"/>
          <w:sz w:val="19"/>
          <w:szCs w:val="19"/>
        </w:rPr>
        <w:t xml:space="preserve">One dated development from the last twelve months. Does it strengthen, weaken or complicate the case above? Update this every time you revisit the case.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200" w:before="0" w:line="264"/>
      </w:pPr>
      <w:r>
        <w:rPr>
          <w:rFonts w:ascii="Calibri" w:cs="Calibri" w:eastAsia="Calibri" w:hAnsi="Calibri"/>
          <w:color w:val="15211F"/>
          <w:sz w:val="20"/>
          <w:szCs w:val="20"/>
        </w:rPr>
        <w:t xml:space="preserve"/>
      </w:r>
    </w:p>
    <w:tbl>
      <w:tblPr>
        <w:tblW w:type="dxa" w:w="10080"/>
        <w:tblBorders>
          <w:top w:val="none"/>
          <w:left w:val="none"/>
          <w:bottom w:val="none"/>
          <w:right w:val="none"/>
          <w:insideH w:val="none"/>
          <w:insideV w:val="none"/>
        </w:tblBorders>
      </w:tblPr>
      <w:tblGrid>
        <w:gridCol w:w="7560"/>
        <w:gridCol w:w="2520"/>
      </w:tblGrid>
      <w:tr>
        <w:tc>
          <w:tcPr>
            <w:tcW w:type="dxa" w:w="7560"/>
            <w:shd w:fill="F3F5F1" w:val="clear"/>
            <w:tcMar>
              <w:top w:type="dxa" w:w="90"/>
              <w:left w:type="dxa" w:w="120"/>
              <w:bottom w:type="dxa" w:w="90"/>
              <w:right w:type="dxa" w:w="120"/>
            </w:tcMar>
          </w:tcPr>
          <w:p>
            <w:pPr>
              <w:spacing w:after="0"/>
            </w:pPr>
            <w:r>
              <w:rPr>
                <w:rFonts w:ascii="Consolas" w:cs="Consolas" w:eastAsia="Consolas" w:hAnsi="Consolas"/>
                <w:b/>
                <w:bCs/>
                <w:color w:val="186B72"/>
                <w:sz w:val="18"/>
                <w:szCs w:val="18"/>
              </w:rPr>
              <w:t xml:space="preserve">10   </w:t>
            </w:r>
            <w:r>
              <w:rPr>
                <w:rFonts w:ascii="Calibri" w:cs="Calibri" w:eastAsia="Calibri" w:hAnsi="Calibri"/>
                <w:b/>
                <w:bCs/>
                <w:color w:val="0D2530"/>
                <w:spacing w:val="24"/>
                <w:sz w:val="20"/>
                <w:szCs w:val="20"/>
              </w:rPr>
              <w:t xml:space="preserve">EXAM USE</w:t>
            </w:r>
          </w:p>
        </w:tc>
        <w:tc>
          <w:tcPr>
            <w:tcW w:type="dxa" w:w="2520"/>
            <w:shd w:fill="F3F5F1" w:val="clear"/>
            <w:tcMar>
              <w:top w:type="dxa" w:w="90"/>
              <w:left w:type="dxa" w:w="120"/>
              <w:bottom w:type="dxa" w:w="90"/>
              <w:right w:type="dxa" w:w="120"/>
            </w:tcMar>
          </w:tcPr>
          <w:p>
            <w:pPr>
              <w:spacing w:after="0"/>
              <w:jc w:val="right"/>
            </w:pPr>
            <w:r>
              <w:rPr>
                <w:rFonts w:ascii="Consolas" w:cs="Consolas" w:eastAsia="Consolas" w:hAnsi="Consolas"/>
                <w:b/>
                <w:bCs/>
                <w:color w:val="8B9793"/>
                <w:spacing w:val="20"/>
                <w:sz w:val="14"/>
                <w:szCs w:val="14"/>
              </w:rPr>
              <w:t xml:space="preserve">GIVEN</w:t>
            </w:r>
          </w:p>
        </w:tc>
      </w:tr>
    </w:tbl>
    <w:p>
      <w:pPr>
        <w:spacing w:after="120" w:before="100" w:line="264"/>
      </w:pPr>
      <w:r>
        <w:rPr>
          <w:rFonts w:ascii="Calibri" w:cs="Calibri" w:eastAsia="Calibri" w:hAnsi="Calibri"/>
          <w:color w:val="15211F"/>
          <w:sz w:val="20"/>
          <w:szCs w:val="20"/>
        </w:rPr>
        <w:t xml:space="preserve">Built in sessions 4–6 as the template every later case study follows. Use it to practise evaluating an argument rather than repeating one.</w:t>
      </w:r>
    </w:p>
    <w:p>
      <w:pPr>
        <w:spacing w:after="120" w:before="0" w:line="264"/>
      </w:pPr>
      <w:r>
        <w:rPr>
          <w:rFonts w:ascii="Calibri" w:cs="Calibri" w:eastAsia="Calibri" w:hAnsi="Calibri"/>
          <w:i/>
          <w:iCs/>
          <w:color w:val="5A6A66"/>
          <w:sz w:val="19"/>
          <w:szCs w:val="19"/>
        </w:rPr>
        <w:t xml:space="preserve">Add the specific questions you have practised with this case, and which evidence you used.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r>
        <w:trPr>
          <w:trHeight w:val="400" w:hRule="atLeast"/>
        </w:trPr>
        <w:tc>
          <w:tcPr>
            <w:tcW w:type="dxa" w:w="10080"/>
            <w:tcBorders>
              <w:top w:val="none"/>
              <w:left w:val="none"/>
              <w:bottom w:val="single" w:color="D9DED7" w:sz="4"/>
              <w:right w:val="none"/>
            </w:tcBorders>
            <w:tcMar>
              <w:top w:type="dxa" w:w="40"/>
              <w:bottom w:type="dxa" w:w="40"/>
            </w:tcMar>
          </w:tcPr>
          <w:p>
            <w:pPr>
              <w:spacing w:after="0"/>
            </w:pPr>
            <w:r>
              <w:rPr>
                <w:sz w:val="20"/>
                <w:szCs w:val="20"/>
              </w:rPr>
              <w:t xml:space="preserve"/>
            </w:r>
          </w:p>
        </w:tc>
      </w:tr>
    </w:tbl>
    <w:p>
      <w:pPr>
        <w:spacing w:after="60" w:before="260" w:line="264"/>
      </w:pPr>
      <w:r>
        <w:rPr>
          <w:rFonts w:ascii="Consolas" w:cs="Consolas" w:eastAsia="Consolas" w:hAnsi="Consolas"/>
          <w:b/>
          <w:bCs/>
          <w:caps/>
          <w:color w:val="8A3B4E"/>
          <w:spacing w:val="20"/>
          <w:sz w:val="15"/>
          <w:szCs w:val="15"/>
        </w:rPr>
        <w:t xml:space="preserve">BEFORE YOU WRITE ABOUT THIS ONE</w:t>
      </w:r>
    </w:p>
    <w:p>
      <w:pPr>
        <w:spacing w:after="160" w:before="0" w:line="264"/>
      </w:pPr>
      <w:r>
        <w:rPr>
          <w:rFonts w:ascii="Calibri" w:cs="Calibri" w:eastAsia="Calibri" w:hAnsi="Calibri"/>
          <w:i/>
          <w:iCs/>
          <w:color w:val="5A6A66"/>
          <w:sz w:val="19"/>
          <w:szCs w:val="19"/>
        </w:rPr>
        <w:t xml:space="preserve">Marshall's chapter is an interpretation. Your job is to test it, including where it overstates what geography determines.</w:t>
      </w:r>
    </w:p>
    <w:p>
      <w:pPr>
        <w:spacing w:after="80" w:before="240" w:line="264"/>
      </w:pPr>
      <w:r>
        <w:rPr>
          <w:rFonts w:ascii="Consolas" w:cs="Consolas" w:eastAsia="Consolas" w:hAnsi="Consolas"/>
          <w:b/>
          <w:bCs/>
          <w:caps/>
          <w:color w:val="8B9793"/>
          <w:spacing w:val="20"/>
          <w:sz w:val="15"/>
          <w:szCs w:val="15"/>
        </w:rPr>
        <w:t xml:space="preserve">WHERE TO LOOK</w:t>
      </w:r>
    </w:p>
    <w:p>
      <w:pPr>
        <w:spacing w:after="50" w:line="264"/>
      </w:pPr>
      <w:r>
        <w:rPr>
          <w:rFonts w:ascii="Calibri" w:cs="Calibri" w:eastAsia="Calibri" w:hAnsi="Calibri"/>
          <w:b/>
          <w:bCs/>
          <w:sz w:val="19"/>
          <w:szCs w:val="19"/>
        </w:rPr>
        <w:t xml:space="preserve">Tim Marshall, The Power of Geography</w:t>
      </w:r>
    </w:p>
    <w:p>
      <w:pPr>
        <w:spacing w:after="50" w:line="264"/>
      </w:pPr>
      <w:r>
        <w:rPr>
          <w:rFonts w:ascii="Calibri" w:cs="Calibri" w:eastAsia="Calibri" w:hAnsi="Calibri"/>
          <w:b/>
          <w:bCs/>
          <w:sz w:val="19"/>
          <w:szCs w:val="19"/>
        </w:rPr>
        <w:t xml:space="preserve">US Energy Information Administration</w:t>
      </w:r>
      <w:r>
        <w:rPr>
          <w:rFonts w:ascii="Consolas" w:cs="Consolas" w:eastAsia="Consolas" w:hAnsi="Consolas"/>
          <w:color w:val="186B72"/>
          <w:sz w:val="17"/>
          <w:szCs w:val="17"/>
        </w:rPr>
        <w:t xml:space="preserve">   https://www.eia.gov/</w:t>
      </w:r>
    </w:p>
    <w:p>
      <w:pPr>
        <w:spacing w:after="50" w:line="264"/>
      </w:pPr>
      <w:r>
        <w:rPr>
          <w:rFonts w:ascii="Calibri" w:cs="Calibri" w:eastAsia="Calibri" w:hAnsi="Calibri"/>
          <w:b/>
          <w:bCs/>
          <w:sz w:val="19"/>
          <w:szCs w:val="19"/>
        </w:rPr>
        <w:t xml:space="preserve">UN World Population Prospects</w:t>
      </w:r>
      <w:r>
        <w:rPr>
          <w:rFonts w:ascii="Consolas" w:cs="Consolas" w:eastAsia="Consolas" w:hAnsi="Consolas"/>
          <w:color w:val="186B72"/>
          <w:sz w:val="17"/>
          <w:szCs w:val="17"/>
        </w:rPr>
        <w:t xml:space="preserve">   https://population.un.org/wpp/</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onsolas" w:cs="Consolas" w:eastAsia="Consolas" w:hAnsi="Consolas"/>
        <w:color w:val="8B9793"/>
        <w:sz w:val="15"/>
        <w:szCs w:val="15"/>
      </w:rPr>
      <w:t xml:space="preserve">Where IB? Geography DP   ·   </w:t>
      <w:t xml:space="preserve">Iran</w:t>
      <w:t xml:space="preserve">   ·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2026-08-28T13:49:34.632Z</dcterms:created>
  <dcterms:modified xsi:type="dcterms:W3CDTF">2026-08-28T13:49:34.632Z</dcterms:modified>
</cp:coreProperties>
</file>

<file path=docProps/custom.xml><?xml version="1.0" encoding="utf-8"?>
<Properties xmlns="http://schemas.openxmlformats.org/officeDocument/2006/custom-properties" xmlns:vt="http://schemas.openxmlformats.org/officeDocument/2006/docPropsVTypes"/>
</file>