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Punjab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Resource Consumption  ·  Regional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Punjab, India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30.9°N 75.8°E   ·   Scale: Regional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An intensively farmed Indian state, central to national food security since the Green Revolution, irrigated heavily from groundwater. Water tables have fallen substantially across much of it.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Intensive irrigation from groundwater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High-yielding varieties requiring water and fertiliser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Subsidised electricity enabling continuous pumping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Aquifer depletion and rising extraction costs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Rate of groundwater table decline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Punjab's share of national wheat and rice production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Electricity subsidy cost for agricultural pumping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Proportion of blocks classified as over-exploited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Punjabi farmers dependent on current practice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Indian consumers relying on the region's output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State and national governments funding subsidies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Future farmers inheriting a depleted aquifer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Process. </w:t>
      </w:r>
      <w:r>
        <w:rPr>
          <w:rFonts w:ascii="Calibri" w:cs="Calibri" w:eastAsia="Calibri" w:hAnsi="Calibri"/>
          <w:sz w:val="20"/>
          <w:szCs w:val="20"/>
        </w:rPr>
        <w:t xml:space="preserve">The water-food-energy nexus in one field.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Crop switching and pricing reform are available and politically hard.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Subsidies benefit farmers now and cost everyone later.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Food security, the water-food-energy nexus, and resource stewardship.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The Green Revolution genuinely prevented famine. Evaluating its costs is not the same as saying it was a mistake.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FAO AQUASTAT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https://www.fao.org/aquastat/en/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Central Ground Water Board, India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https://cgwb.gov.in/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Our World in Data — water use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https://ourworldindata.org/water-use-stress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Punjab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2026-08-28T13:49:35.266Z</dcterms:created>
  <dcterms:modified xsi:type="dcterms:W3CDTF">2026-08-28T13:49:35.266Z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