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Qatar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Resource Consumption  · 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State of Qatar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25.3°N 51.2°E   ·   Scale: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small, very wealthy Gulf state with extreme summer heat, almost no natural fresh water, and large natural gas reserves. Water comes largely from energy-intensive desalination; cooling is near-universal.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Desalination substituting for absent freshwater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Very high energy use for cooling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Wealth from hydrocarbon export driving consumption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Food import dependence in an arid environment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Ecological footprint per person, with the year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Per capita energy and water consumption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Share of water from desalination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Share of food that is imported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Qatari citizens and the much larger migrant workforce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state, funding subsidised utilities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Global gas importers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Future generations facing post-hydrocarbon transition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High consumption is a choice made affordable by wealth.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Scale. </w:t>
      </w:r>
      <w:r>
        <w:rPr>
          <w:rFonts w:ascii="Calibri" w:cs="Calibri" w:eastAsia="Calibri" w:hAnsi="Calibri"/>
          <w:sz w:val="20"/>
          <w:szCs w:val="20"/>
        </w:rPr>
        <w:t xml:space="preserve">Small population, outsized per capita impact.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Process. </w:t>
      </w:r>
      <w:r>
        <w:rPr>
          <w:rFonts w:ascii="Calibri" w:cs="Calibri" w:eastAsia="Calibri" w:hAnsi="Calibri"/>
          <w:sz w:val="20"/>
          <w:szCs w:val="20"/>
        </w:rPr>
        <w:t xml:space="preserve">Energy, water and food demands reinforcing one another.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Consumption patterns, ecological footprints, and the link between wealth and resource use.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Global Footprint Network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https://www.footprintnetwork.org/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World Bank Open Data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https://data.worldbank.org/country/qatar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Our World in Data — energy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https://ourworldindata.org/energy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Qatar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2026-08-28T13:49:35.233Z</dcterms:created>
  <dcterms:modified xsi:type="dcterms:W3CDTF">2026-08-28T13:49:35.233Z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