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Tuvalu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Global Climate  ·  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Tuvalu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8.0°S 178.1°E   ·   Scale: 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very small, very low island nation in the Pacific with almost no land above a few metres. Freshwater is limited and easily contaminated by saltwater intrusion.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Sea level rise reducing habitable land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Saltwater intrusion into freshwater lenses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Coastal erosion and storm damage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Planned migration and questions of statehood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Maximum and average elevation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Observed rate of local sea level rise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Population, and projected migration numbers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Tuvalu's share of global emissions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Tuvaluan citizens and future generations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The Tuvaluan government, negotiating internationally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Australia and New Zealand as potential destinations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International legal bodies on statehood and maritime boundaries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Adaptation has a limit, and this is what reaching it looks like.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Among the smallest emitters, facing among the largest consequences.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Place. </w:t>
      </w:r>
      <w:r>
        <w:rPr>
          <w:rFonts w:ascii="Calibri" w:cs="Calibri" w:eastAsia="Calibri" w:hAnsi="Calibri"/>
          <w:sz w:val="20"/>
          <w:szCs w:val="20"/>
        </w:rPr>
        <w:t xml:space="preserve">What happens to a nation's identity when its territory goes?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Existential risk, climate justice, and the limits of adaptation.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Avoid writing about Tuvalu as though it has already disappeared. Check what is projected against what has happened.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NASA Sea Level Change portal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https://sealevel.nasa.gov/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Pacific Community (SPC)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https://www.spc.int/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Our World in Data — CO2 emissions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https://ourworldindata.org/co2-emissions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Tuvalu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2026-08-28T13:49:35.080Z</dcterms:created>
  <dcterms:modified xsi:type="dcterms:W3CDTF">2026-08-28T13:49:35.080Z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